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7C872">
      <w:pPr>
        <w:spacing w:line="560" w:lineRule="exact"/>
        <w:ind w:firstLine="641" w:firstLineChars="200"/>
        <w:jc w:val="center"/>
        <w:rPr>
          <w:rFonts w:hint="eastAsia" w:ascii="华文中宋" w:hAnsi="华文中宋" w:eastAsia="华文中宋" w:cs="仿宋"/>
          <w:b/>
          <w:bCs/>
          <w:sz w:val="32"/>
          <w:szCs w:val="32"/>
        </w:rPr>
      </w:pPr>
      <w:r>
        <w:rPr>
          <w:rFonts w:hint="eastAsia" w:ascii="华文中宋" w:hAnsi="华文中宋" w:eastAsia="华文中宋" w:cs="仿宋"/>
          <w:b/>
          <w:bCs/>
          <w:sz w:val="32"/>
          <w:szCs w:val="32"/>
        </w:rPr>
        <w:t>“《习近平谈治国理政》导读”：</w:t>
      </w:r>
    </w:p>
    <w:p w14:paraId="0801ADA9">
      <w:pPr>
        <w:spacing w:line="560" w:lineRule="exact"/>
        <w:ind w:firstLine="641" w:firstLineChars="200"/>
        <w:jc w:val="center"/>
        <w:rPr>
          <w:rFonts w:hint="eastAsia" w:ascii="华文中宋" w:hAnsi="华文中宋" w:eastAsia="华文中宋" w:cs="仿宋"/>
          <w:b/>
          <w:bCs/>
          <w:sz w:val="32"/>
          <w:szCs w:val="32"/>
        </w:rPr>
      </w:pPr>
      <w:r>
        <w:rPr>
          <w:rFonts w:hint="eastAsia" w:ascii="华文中宋" w:hAnsi="华文中宋" w:eastAsia="华文中宋" w:cs="仿宋"/>
          <w:b/>
          <w:bCs/>
          <w:sz w:val="32"/>
          <w:szCs w:val="32"/>
        </w:rPr>
        <w:t>绿水青山就是金山银山</w:t>
      </w:r>
    </w:p>
    <w:p w14:paraId="2B3CAF85">
      <w:pPr>
        <w:spacing w:line="560" w:lineRule="exact"/>
        <w:ind w:firstLine="641" w:firstLineChars="200"/>
        <w:jc w:val="center"/>
        <w:rPr>
          <w:rFonts w:hint="eastAsia" w:ascii="华文中宋" w:hAnsi="华文中宋" w:eastAsia="华文中宋" w:cs="仿宋"/>
          <w:b/>
          <w:bCs/>
          <w:sz w:val="32"/>
          <w:szCs w:val="32"/>
        </w:rPr>
      </w:pPr>
    </w:p>
    <w:p w14:paraId="436FE39E">
      <w:pPr>
        <w:spacing w:line="560" w:lineRule="exact"/>
        <w:ind w:firstLine="640" w:firstLineChars="200"/>
        <w:rPr>
          <w:rFonts w:hint="eastAsia" w:ascii="仿宋" w:hAnsi="仿宋" w:eastAsia="仿宋" w:cs="仿宋"/>
          <w:i/>
          <w:iCs/>
          <w:sz w:val="32"/>
          <w:szCs w:val="32"/>
        </w:rPr>
      </w:pPr>
      <w:r>
        <w:rPr>
          <w:rFonts w:hint="eastAsia" w:ascii="仿宋" w:hAnsi="仿宋" w:eastAsia="仿宋" w:cs="仿宋"/>
          <w:i/>
          <w:iCs/>
          <w:sz w:val="32"/>
          <w:szCs w:val="32"/>
        </w:rPr>
        <w:t>“希望全社会行动起来，做绿水青山就是金山银山理念的积极传播者和模范践行者，身体力行、久久为功，为共建清洁美丽世界作出更大贡献！”</w:t>
      </w:r>
    </w:p>
    <w:p w14:paraId="367BF938">
      <w:pPr>
        <w:spacing w:line="560" w:lineRule="exact"/>
        <w:ind w:firstLine="640" w:firstLineChars="200"/>
        <w:rPr>
          <w:rFonts w:hint="eastAsia" w:ascii="仿宋" w:hAnsi="仿宋" w:eastAsia="仿宋" w:cs="仿宋"/>
          <w:i/>
          <w:iCs/>
          <w:sz w:val="32"/>
          <w:szCs w:val="32"/>
        </w:rPr>
      </w:pPr>
      <w:r>
        <w:rPr>
          <w:rFonts w:hint="eastAsia" w:ascii="仿宋" w:hAnsi="仿宋" w:eastAsia="仿宋" w:cs="仿宋"/>
          <w:i/>
          <w:iCs/>
          <w:sz w:val="32"/>
          <w:szCs w:val="32"/>
        </w:rPr>
        <w:t>——习近平总书记在首个全国生态日之际作出的指示(2023年8月14日)</w:t>
      </w:r>
    </w:p>
    <w:p w14:paraId="2BF77D18">
      <w:pPr>
        <w:spacing w:line="560" w:lineRule="exact"/>
        <w:rPr>
          <w:rFonts w:hint="eastAsia" w:ascii="仿宋" w:hAnsi="仿宋" w:eastAsia="仿宋" w:cs="仿宋"/>
          <w:sz w:val="32"/>
          <w:szCs w:val="32"/>
        </w:rPr>
      </w:pPr>
    </w:p>
    <w:p w14:paraId="5086DD35">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编者按：</w:t>
      </w:r>
    </w:p>
    <w:p w14:paraId="60E10BC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习近平谈治国理政》自2014年第一卷出版以来，热销海外，成为多国政要、海外专家学者的重要案头书，已经成为当今世界出版语种最多、覆盖范围最广、影响力最大的领导人著作，为国际社会读懂新时代中国打开了“思想之门”。</w:t>
      </w:r>
    </w:p>
    <w:p w14:paraId="348D9CBF">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为方便更多海内外读者了解《习近平谈治国理政》，理解其中反映的中国发展观、文明观、安全观、人权观、生态观、国际秩序观和全球治理观等，《环球时报》从今日起重点推出“《习近平谈治国理政》导读”系列特别报道，通过“学者谈”“译者道”“实践者说”“读者悟”等栏目，以中外学者、著作译者、实践亲历者和海外读者的视角，讲述他们对《习近平谈治国理政》及其蕴含的中国理念、中国价值和中国智慧的认识、理解与感悟。</w:t>
      </w:r>
    </w:p>
    <w:p w14:paraId="37C321DB">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“《习近平谈治国理政》导读”特别报道第十期，我们与《人民日报》海外版合作，深入探讨“绿水青山就是金山银山”理念和实践为可持续发展、全球生态治理和构建人类命运共同体作出的重要贡献。</w:t>
      </w:r>
    </w:p>
    <w:p w14:paraId="53F69990">
      <w:pPr>
        <w:spacing w:line="560" w:lineRule="exact"/>
        <w:ind w:firstLine="640" w:firstLineChars="200"/>
        <w:rPr>
          <w:rFonts w:hint="eastAsia" w:ascii="仿宋" w:hAnsi="仿宋" w:eastAsia="仿宋" w:cs="仿宋"/>
          <w:sz w:val="32"/>
          <w:szCs w:val="32"/>
        </w:rPr>
      </w:pPr>
    </w:p>
    <w:p w14:paraId="366DFC55">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正文：</w:t>
      </w:r>
    </w:p>
    <w:p w14:paraId="34762C9C">
      <w:pPr>
        <w:spacing w:line="560" w:lineRule="exact"/>
        <w:ind w:firstLine="643" w:firstLineChars="200"/>
        <w:rPr>
          <w:rFonts w:hint="eastAsia" w:ascii="仿宋" w:hAnsi="仿宋" w:eastAsia="仿宋" w:cs="仿宋"/>
          <w:b/>
          <w:bCs/>
          <w:sz w:val="32"/>
          <w:szCs w:val="32"/>
        </w:rPr>
      </w:pPr>
    </w:p>
    <w:p w14:paraId="19CE40EA">
      <w:pPr>
        <w:spacing w:line="560" w:lineRule="exact"/>
        <w:rPr>
          <w:rFonts w:hint="eastAsia" w:ascii="仿宋" w:hAnsi="仿宋" w:eastAsia="仿宋" w:cs="仿宋"/>
          <w:sz w:val="32"/>
          <w:szCs w:val="32"/>
        </w:rPr>
      </w:pPr>
      <w:r>
        <w:rPr>
          <w:rFonts w:hint="eastAsia" w:ascii="仿宋" w:hAnsi="仿宋" w:eastAsia="仿宋" w:cs="仿宋"/>
          <w:b/>
          <w:bCs/>
          <w:sz w:val="32"/>
          <w:szCs w:val="32"/>
        </w:rPr>
        <w:t>【实践者说】两代“两山”实践者20年见证中国绿色发展奇迹</w:t>
      </w:r>
    </w:p>
    <w:p w14:paraId="5AADBB9F">
      <w:pPr>
        <w:spacing w:line="560" w:lineRule="exact"/>
        <w:rPr>
          <w:rFonts w:hint="eastAsia" w:ascii="仿宋" w:hAnsi="仿宋" w:eastAsia="仿宋" w:cs="仿宋"/>
          <w:sz w:val="32"/>
          <w:szCs w:val="32"/>
        </w:rPr>
      </w:pPr>
      <w:bookmarkStart w:id="0" w:name="_GoBack"/>
      <w:bookmarkEnd w:id="0"/>
      <w:r>
        <w:rPr>
          <w:rFonts w:hint="eastAsia" w:ascii="仿宋" w:hAnsi="仿宋" w:eastAsia="仿宋" w:cs="仿宋"/>
          <w:sz w:val="32"/>
          <w:szCs w:val="32"/>
        </w:rPr>
        <w:t>环球时报记者 单劼</w:t>
      </w:r>
    </w:p>
    <w:p w14:paraId="5603B8FF">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8月的热浪挡不住余村的热闹。镌刻着“绿水青山就是金山银山”的石碑前，不时可见游客拍照留念；乡村邮局窗外稻浪起伏，一直铺到山脚；家长带着孩子，骑着共享电单车穿行于田间的小路上，风里夹着竹与茶的清香——这正是当下许多人向往的乡村生活。</w:t>
      </w:r>
    </w:p>
    <w:p w14:paraId="67DD009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很难想象，二十年前这里曾是矿山轰鸣、灰尘扑面的“资源村”。从“卖矿石”到“卖风景”，再到今天“卖生活、卖品质”，这条发展之路刻在了余村人的记忆里。</w:t>
      </w:r>
    </w:p>
    <w:p w14:paraId="246CF85A">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2005年8月15日，时任浙江省委书记的习近平同志考察湖州市安吉县天荒坪镇余村，首次提出“绿水青山就是金山银山”科学论断。</w:t>
      </w:r>
    </w:p>
    <w:p w14:paraId="0380577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亲历2005年那场调研与座谈、后来担任过余村村支书的潘文革，就成了“绿水青山就是金山银山”理念在余村诞生、实践的见证者和推动者。近日，已是中共安吉县委党校校委委员的潘文革向记者讲述了那一天如何改变了一个村子的未来，也改变了许多人的人生路径。</w:t>
      </w:r>
    </w:p>
    <w:p w14:paraId="6DA7F74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两山”理念的提出更加坚定了余村干部群众走绿色发展道路的信心。潘文革回忆，接下来几年，余村开展矿地修复、增绿扩绿,还发动村民清沟渠、修道路、粉刷墙面，把“脏乱差”的村貌改造成景区化的公共空间。</w:t>
      </w:r>
    </w:p>
    <w:p w14:paraId="5FC6151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余村的探索也终见成效。“两山”理念的落实，为这里带来了显著的生态改善、经济增长和社会进步。在这个面积只有4.86平方公里的小山村，如今每年都有数十万游客慕名而来。潘文革介绍，现在村里已有一百多户人家开起了自己的小店，从农家乐到土特产商铺，再到各类体验馆、网红打卡地，生意越做越旺，人气和名气一起提升，村民的收入涨了，生活的满足感也随之增加。</w:t>
      </w:r>
    </w:p>
    <w:p w14:paraId="4D24EDE6">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习近平谈治国理政》第五卷《做绿水青山就是金山银山理念的积极传播者和模范践行者》一文中，习近平强调，“希望全社会行动起来，做绿水青山就是金山银山理念的积极传播者和模范践行者，身体力行、久久为功，为共建清洁美丽世界作出更大贡献！”</w:t>
      </w:r>
    </w:p>
    <w:p w14:paraId="1CC76DC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今天，越来越多的年轻人走进余村、走向安吉，在这里安家立业，成为“两山”理念的新一代践行者。</w:t>
      </w:r>
    </w:p>
    <w:p w14:paraId="29CAD08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90后企业家李彦漪是其中的代表之一。她来自上海，从2019年起便扎根安吉溪龙乡，运营着“白茶原”项目：她和团队系统更新旧有空间，把废弃构筑物改造为公共空间、商铺或民宿，并用更国际化的表达重塑乡村审美。</w:t>
      </w:r>
    </w:p>
    <w:p w14:paraId="64AF4441">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与传统“造景拉人”不同，李彦漪主打的是“造社群”：把一座废弃的竹木企业厂房改造成功能复合的社区，2021年“DNA数字游民公社”（Digital Nomad Anji）落地。程序员、设计师、创作者把工作室搬进山水间，白天远程办公，夜晚在田边畅谈，已成为安吉独特的风景线。</w:t>
      </w:r>
    </w:p>
    <w:p w14:paraId="32DA50B3">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统计显示，自2019年以来，已有5万多名青年选择到安吉就业创业，“青年入乡首选地”逐渐成为这座县城的一张新名片。</w:t>
      </w:r>
    </w:p>
    <w:p w14:paraId="7C56A9C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当‘绿水青山就是金山银山’从一个村庄的选择，变成千千万万个生活的选择时，美丽中国就在眼前。</w:t>
      </w:r>
    </w:p>
    <w:p w14:paraId="23BB634D">
      <w:pPr>
        <w:spacing w:line="560" w:lineRule="exact"/>
        <w:ind w:firstLine="640" w:firstLineChars="200"/>
        <w:rPr>
          <w:rFonts w:hint="eastAsia" w:ascii="仿宋" w:hAnsi="仿宋" w:eastAsia="仿宋" w:cs="仿宋"/>
          <w:sz w:val="32"/>
          <w:szCs w:val="32"/>
        </w:rPr>
      </w:pPr>
    </w:p>
    <w:p w14:paraId="66DD4322">
      <w:pPr>
        <w:spacing w:line="560" w:lineRule="exact"/>
        <w:rPr>
          <w:rFonts w:hint="eastAsia" w:ascii="仿宋" w:hAnsi="仿宋" w:eastAsia="仿宋" w:cs="仿宋"/>
          <w:b/>
          <w:bCs/>
          <w:sz w:val="32"/>
          <w:szCs w:val="32"/>
        </w:rPr>
      </w:pPr>
      <w:r>
        <w:rPr>
          <w:rFonts w:hint="eastAsia" w:ascii="仿宋" w:hAnsi="仿宋" w:eastAsia="仿宋" w:cs="仿宋"/>
          <w:b/>
          <w:bCs/>
          <w:sz w:val="32"/>
          <w:szCs w:val="32"/>
        </w:rPr>
        <w:t>【读者悟】中国的绿色低碳转型释放更多红利</w:t>
      </w:r>
    </w:p>
    <w:p w14:paraId="4EAF8196">
      <w:pPr>
        <w:spacing w:line="560" w:lineRule="exact"/>
        <w:rPr>
          <w:rFonts w:hint="eastAsia" w:ascii="仿宋" w:hAnsi="仿宋" w:eastAsia="仿宋" w:cs="仿宋"/>
          <w:sz w:val="32"/>
          <w:szCs w:val="32"/>
        </w:rPr>
      </w:pPr>
      <w:r>
        <w:rPr>
          <w:rFonts w:hint="eastAsia" w:ascii="仿宋" w:hAnsi="仿宋" w:eastAsia="仿宋" w:cs="仿宋"/>
          <w:sz w:val="32"/>
          <w:szCs w:val="32"/>
        </w:rPr>
        <w:t>作者：孟浩</w:t>
      </w:r>
    </w:p>
    <w:p w14:paraId="3E0B49E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过去三十多年来，中国的绿色能源转型取得了显著进展，成绩斐然，其积极影响和启发作用超越国界。事实和数据是最有力的证明。2024年，中国新增的可再生能源装机容量超过了全球其他国家的总和。</w:t>
      </w:r>
    </w:p>
    <w:p w14:paraId="521F312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中国在交通电动化方面也处于明显的领先地位。它是全球最大的新能源汽车市场，也是全球最大的新能源汽车出口国。</w:t>
      </w:r>
    </w:p>
    <w:p w14:paraId="29C55CC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习近平主席在2023年7月全国生态环境保护大会上强调，“今后5年是美丽中国建设的重要时期”。 </w:t>
      </w:r>
    </w:p>
    <w:p w14:paraId="1384B92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“美丽中国”这一概念凸显了中国对生态文明和可持续发展的承诺，强调“绿水青山就是金山银山”。</w:t>
      </w:r>
    </w:p>
    <w:p w14:paraId="65BEC60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国承诺在2030年前实现碳达峰、2060年前实现碳中和，这意味着在本世纪中叶，中国将完成向绿色低碳循环发展的转型。数据再次证明了这一趋势。根据彭博新能源财经的数据，2024年中国是全球能源转型的最大投资方，在清洁技术方面投资了8180亿美元，这远超美国和欧盟。在这一领域，美国投资了3380亿美元，欧盟投资了3750亿美元。</w:t>
      </w:r>
    </w:p>
    <w:p w14:paraId="62BF1C35">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因此，中国的绿色低碳转型释放了更多红利，为外资企业带来了重大机遇。随着中国持续重视可持续发展，外资企业可以利用其专业知识和技术支持中国的绿色发展目标。“双碳”目标为绿色投资创造了有利环境，外资企业可以通过与中国企业合作，共同开发创新解决方案并开拓广阔的中国市场。随着中国绿色经济有望进一步大幅增长，外资企业可以通过投资可再生能源、绿色基础设施和可持续技术来充分利用这一趋势获益。</w:t>
      </w:r>
    </w:p>
    <w:p w14:paraId="0D47F093">
      <w:pPr>
        <w:spacing w:line="5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在全球气候变化挑战面前，没有一个国家能够置身事外、独善其身，单边行动必然无法应对这一全球性危机。另一方面，合作使各国能够集中资源、专业知识和影响力，推动有意义的变革。展望未来，必须优先考虑多边合作，并认识到像中国这样的国家在塑造可持续未来方面可以发挥的关键作用。</w:t>
      </w:r>
    </w:p>
    <w:p w14:paraId="1BE4DF1E">
      <w:pPr>
        <w:spacing w:line="560" w:lineRule="exact"/>
        <w:ind w:firstLine="640" w:firstLineChars="200"/>
        <w:rPr>
          <w:rFonts w:hint="eastAsia" w:ascii="仿宋" w:hAnsi="仿宋" w:eastAsia="仿宋" w:cs="仿宋"/>
          <w:i/>
          <w:iCs/>
          <w:sz w:val="32"/>
          <w:szCs w:val="32"/>
        </w:rPr>
      </w:pPr>
      <w:r>
        <w:rPr>
          <w:rFonts w:hint="eastAsia" w:ascii="仿宋" w:hAnsi="仿宋" w:eastAsia="仿宋" w:cs="仿宋"/>
          <w:i/>
          <w:iCs/>
          <w:sz w:val="32"/>
          <w:szCs w:val="32"/>
        </w:rPr>
        <w:t>作者是星展银行首席可持续发展官。</w:t>
      </w:r>
    </w:p>
    <w:p w14:paraId="36503FB7">
      <w:pPr>
        <w:spacing w:line="560" w:lineRule="exact"/>
        <w:ind w:firstLine="640" w:firstLineChars="200"/>
        <w:rPr>
          <w:rFonts w:hint="eastAsia" w:ascii="仿宋" w:hAnsi="仿宋" w:eastAsia="仿宋" w:cs="仿宋"/>
          <w:sz w:val="32"/>
          <w:szCs w:val="32"/>
        </w:rPr>
      </w:pPr>
    </w:p>
    <w:p w14:paraId="56CB6A29">
      <w:pPr>
        <w:spacing w:line="560" w:lineRule="exact"/>
        <w:rPr>
          <w:rFonts w:hint="eastAsia" w:ascii="仿宋" w:hAnsi="仿宋" w:eastAsia="仿宋" w:cs="仿宋"/>
          <w:sz w:val="32"/>
          <w:szCs w:val="32"/>
        </w:rPr>
      </w:pPr>
      <w:r>
        <w:rPr>
          <w:rFonts w:hint="eastAsia" w:ascii="仿宋" w:hAnsi="仿宋" w:eastAsia="仿宋" w:cs="仿宋"/>
          <w:b/>
          <w:bCs/>
          <w:sz w:val="32"/>
          <w:szCs w:val="32"/>
        </w:rPr>
        <w:t>【译者道】“绿水青山就是金山银山”是发展方式的根本性转变：阿富汗译者</w:t>
      </w:r>
    </w:p>
    <w:p w14:paraId="2BFD9AFF">
      <w:pPr>
        <w:spacing w:line="560" w:lineRule="exact"/>
        <w:rPr>
          <w:rFonts w:hint="eastAsia" w:ascii="仿宋" w:hAnsi="仿宋" w:eastAsia="仿宋" w:cs="仿宋"/>
          <w:sz w:val="32"/>
          <w:szCs w:val="32"/>
        </w:rPr>
      </w:pPr>
      <w:r>
        <w:rPr>
          <w:rFonts w:hint="eastAsia" w:ascii="仿宋" w:hAnsi="仿宋" w:eastAsia="仿宋" w:cs="仿宋"/>
          <w:sz w:val="32"/>
          <w:szCs w:val="32"/>
        </w:rPr>
        <w:t>采访对象：《习近平谈治国理政》达里语版译者委员会委员 霍斯拉夫·乌拜迪</w:t>
      </w:r>
    </w:p>
    <w:p w14:paraId="3B2FEFF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中国的这句名言 –“绿水青山就是金山银山” – 不仅仅是一句口号，更是发展方式的根本性转变。中国没有为了短期经济利益而牺牲自然，而是制定了将环境视为“金山银山”的政策。</w:t>
      </w:r>
    </w:p>
    <w:p w14:paraId="3915D3F0">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这里的革命性在于这种思维方式：经济发展和环境健康并非敌人，而是合作伙伴。西方国家通常先工业化，后治理，而中国的做法表明，发展中国家可以完全跳过不清洁的增长阶段。对全球南方国家而言，这堪称颠覆性举措。</w:t>
      </w:r>
    </w:p>
    <w:p w14:paraId="157065A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真正的繁荣不仅仅是GDP数字，而是可呼吸的空气、可饮用的水源和稳定的气候。随着气候灾害的不断升级，这不仅仅是中国的战略，更是世界未来发展的必然选择。</w:t>
      </w:r>
    </w:p>
    <w:p w14:paraId="13F935E7">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国的长期生态治理理念以生态文明为核心——这是一个以价值为导向的、整体性的框架，将发展与自然界的健康紧密联系在一起。生态文明将自然视为共同遗产，而非单纯的资源，是社会正义和人类福祉的基石，体现了代际责任以及人与环境的和谐共生。</w:t>
      </w:r>
    </w:p>
    <w:p w14:paraId="5A959E2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具体而言，生态文明建设基于一个系统性的治理架构：总体布局、跨部门协调、生态红线以及碳交易等市场化工具，旨在实现2030年碳排放达峰和2060年碳中和。</w:t>
      </w:r>
    </w:p>
    <w:p w14:paraId="38E14A0F">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中国长期生态治理理念的核心是“生态文明”——这是一种整体性、价值导向型的发展框架，将发展与自然生态健康紧密联系在一起。它并不把自然仅仅视为资源，而是视为人类共同继承的财富，以及社会公平和人民福祉的重要基础，体现了代际责任以及人与自然和谐共生的理念。</w:t>
      </w:r>
    </w:p>
    <w:p w14:paraId="35E30002">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在实践层面，这一理念建立在系统性的治理架构之上，所有努力都旨在实现2030年前碳达峰、2060年前碳中和的目标。</w:t>
      </w:r>
    </w:p>
    <w:p w14:paraId="60842F68">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总而言之，中国的生态治理融合了面向未来、兼具责任感的发展理念，以及多层次、系统性的制度工具，在尊重地球资源有限性的同时，追求可持续繁荣。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calaOT-Regular">
    <w:panose1 w:val="02010504040101020104"/>
    <w:charset w:val="00"/>
    <w:family w:val="modern"/>
    <w:pitch w:val="default"/>
    <w:sig w:usb0="800000AF" w:usb1="4000E05B" w:usb2="00000000" w:usb3="00000000" w:csb0="20000001" w:csb1="00000000"/>
  </w:font>
  <w:font w:name="Times">
    <w:panose1 w:val="00000000000000000000"/>
    <w:charset w:val="00"/>
    <w:family w:val="auto"/>
    <w:pitch w:val="default"/>
    <w:sig w:usb0="E00002FF" w:usb1="5000205A" w:usb2="00000000" w:usb3="00000000" w:csb0="2000019F" w:csb1="00000000"/>
  </w:font>
  <w:font w:name="ScalaSansOT-Black">
    <w:panose1 w:val="02010A04060101020104"/>
    <w:charset w:val="00"/>
    <w:family w:val="modern"/>
    <w:pitch w:val="default"/>
    <w:sig w:usb0="800000AF" w:usb1="4000E04A" w:usb2="00000000" w:usb3="00000000" w:csb0="2000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3667CB"/>
    <w:rsid w:val="00471B24"/>
    <w:rsid w:val="00A94E29"/>
    <w:rsid w:val="00FC0039"/>
    <w:rsid w:val="04991B79"/>
    <w:rsid w:val="14303DF6"/>
    <w:rsid w:val="3D0B6F09"/>
    <w:rsid w:val="771C0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3"/>
    <w:unhideWhenUsed/>
    <w:qFormat/>
    <w:uiPriority w:val="99"/>
    <w:pPr>
      <w:spacing w:line="200" w:lineRule="atLeast"/>
      <w:ind w:firstLine="227"/>
    </w:pPr>
    <w:rPr>
      <w:rFonts w:ascii="ScalaOT-Regular" w:hAnsi="ScalaOT-Regular" w:eastAsia="ScalaOT-Regular"/>
      <w:spacing w:val="-2"/>
      <w:sz w:val="19"/>
      <w:lang w:val="en-US"/>
    </w:rPr>
  </w:style>
  <w:style w:type="paragraph" w:customStyle="1" w:styleId="3">
    <w:name w:val="[无段落样式]"/>
    <w:unhideWhenUsed/>
    <w:qFormat/>
    <w:uiPriority w:val="99"/>
    <w:pPr>
      <w:widowControl w:val="0"/>
      <w:autoSpaceDE w:val="0"/>
      <w:autoSpaceDN w:val="0"/>
      <w:adjustRightInd w:val="0"/>
      <w:spacing w:line="288" w:lineRule="auto"/>
      <w:textAlignment w:val="center"/>
    </w:pPr>
    <w:rPr>
      <w:rFonts w:ascii="Times" w:hAnsi="Times" w:eastAsia="Times" w:cs="Times New Roman"/>
      <w:color w:val="000000"/>
      <w:sz w:val="24"/>
      <w:szCs w:val="24"/>
      <w:lang w:val="en-GB" w:eastAsia="zh-CN" w:bidi="ar-SA"/>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Emphasis"/>
    <w:basedOn w:val="8"/>
    <w:qFormat/>
    <w:uiPriority w:val="0"/>
    <w:rPr>
      <w:i/>
    </w:rPr>
  </w:style>
  <w:style w:type="paragraph" w:customStyle="1" w:styleId="10">
    <w:name w:val="Byline"/>
    <w:basedOn w:val="2"/>
    <w:unhideWhenUsed/>
    <w:qFormat/>
    <w:uiPriority w:val="99"/>
    <w:pPr>
      <w:pBdr>
        <w:bottom w:val="single" w:color="auto" w:sz="2" w:space="10"/>
      </w:pBdr>
      <w:ind w:firstLine="0"/>
    </w:pPr>
    <w:rPr>
      <w:rFonts w:ascii="ScalaSansOT-Black" w:hAnsi="ScalaSansOT-Black" w:eastAsia="ScalaSansOT-Black"/>
      <w:position w:val="-8"/>
    </w:rPr>
  </w:style>
  <w:style w:type="character" w:customStyle="1" w:styleId="11">
    <w:name w:val="页眉 字符"/>
    <w:basedOn w:val="8"/>
    <w:link w:val="5"/>
    <w:qFormat/>
    <w:uiPriority w:val="0"/>
    <w:rPr>
      <w:rFonts w:asciiTheme="minorHAnsi" w:hAnsiTheme="minorHAnsi" w:eastAsiaTheme="minorEastAsia" w:cstheme="minorBidi"/>
      <w:kern w:val="2"/>
      <w:sz w:val="18"/>
      <w:szCs w:val="18"/>
    </w:rPr>
  </w:style>
  <w:style w:type="character" w:customStyle="1" w:styleId="12">
    <w:name w:val="页脚 字符"/>
    <w:basedOn w:val="8"/>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3120</Words>
  <Characters>3202</Characters>
  <Lines>49</Lines>
  <Paragraphs>8</Paragraphs>
  <TotalTime>0</TotalTime>
  <ScaleCrop>false</ScaleCrop>
  <LinksUpToDate>false</LinksUpToDate>
  <CharactersWithSpaces>3210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2026-05-13T10:45:00Z</dcterms:created>
  <dc:creator>办公的芦瑚</dc:creator>
  <cp:lastModifiedBy>办公的芦瑚</cp:lastModifiedBy>
  <dcterms:modified xsi:type="dcterms:W3CDTF">2026-05-13T11:24:27Z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DA38AEC5D8734350B83C608020202674_13</vt:lpwstr>
  </property>
  <property fmtid="{D5CDD505-2E9C-101B-9397-08002B2CF9AE}" pid="4" name="KSOTemplateDocerSaveRecord">
    <vt:lpwstr>eyJoZGlkIjoiODk3MjcwZjY4YmQ2OGU0Zjc5ZDBkZmRhNzNiNTJhM2MiLCJ1c2VySWQiOiIzMTA1ODQzODIifQ==</vt:lpwstr>
  </property>
</Properties>
</file>